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33208" w14:textId="11FB2FE4" w:rsidR="00E519A7" w:rsidRPr="001778BA" w:rsidRDefault="00B63395">
      <w:pPr>
        <w:rPr>
          <w:rFonts w:ascii="Times New Roman" w:hAnsi="Times New Roman" w:cs="Times New Roman"/>
          <w:b/>
          <w:bCs/>
        </w:rPr>
      </w:pPr>
      <w:r w:rsidRPr="001778BA">
        <w:rPr>
          <w:rFonts w:ascii="Times New Roman" w:hAnsi="Times New Roman" w:cs="Times New Roman"/>
          <w:b/>
          <w:bCs/>
        </w:rPr>
        <w:t>Traccia A</w:t>
      </w:r>
    </w:p>
    <w:p w14:paraId="3E8CB03D" w14:textId="77777777" w:rsidR="00B63395" w:rsidRPr="00B63395" w:rsidRDefault="00B63395" w:rsidP="001778BA">
      <w:pPr>
        <w:jc w:val="both"/>
        <w:rPr>
          <w:rFonts w:ascii="Times New Roman" w:hAnsi="Times New Roman" w:cs="Times New Roman"/>
        </w:rPr>
      </w:pPr>
      <w:r w:rsidRPr="00B63395">
        <w:rPr>
          <w:rFonts w:ascii="Times New Roman" w:hAnsi="Times New Roman" w:cs="Times New Roman"/>
        </w:rPr>
        <w:t>In occasione della Giornata dell’Africa 2026, celebrata ogni anno il 25 maggio per commemorare la nascita dell’Organizzazione dell’Unità Africana, l’Italia ha dedicato quest’anno l’iniziativa “Italia-Africa: culture in gioco” al ruolo dello sport come motore di crescita sociale, educativa ed economica. L’evento, ospitato lunedì 25 maggio presso l’Istituto della Enciclopedia Italiana Treccani, ha riunito campioni olimpici, atleti della Nazionale italiana, tecnici internazionali, dirigenti sportivi, università e organizzazioni impegnate nella cooperazione tra Italia e Africa.</w:t>
      </w:r>
    </w:p>
    <w:p w14:paraId="3651EC47" w14:textId="77777777" w:rsidR="00B63395" w:rsidRPr="00B63395" w:rsidRDefault="00B63395" w:rsidP="001778BA">
      <w:pPr>
        <w:jc w:val="both"/>
        <w:rPr>
          <w:rFonts w:ascii="Times New Roman" w:hAnsi="Times New Roman" w:cs="Times New Roman"/>
        </w:rPr>
      </w:pPr>
    </w:p>
    <w:p w14:paraId="7FE22AA5" w14:textId="77777777" w:rsidR="00B63395" w:rsidRPr="00B63395" w:rsidRDefault="00B63395" w:rsidP="001778BA">
      <w:pPr>
        <w:jc w:val="both"/>
        <w:rPr>
          <w:rFonts w:ascii="Times New Roman" w:hAnsi="Times New Roman" w:cs="Times New Roman"/>
        </w:rPr>
      </w:pPr>
      <w:r w:rsidRPr="00B63395">
        <w:rPr>
          <w:rFonts w:ascii="Times New Roman" w:hAnsi="Times New Roman" w:cs="Times New Roman"/>
        </w:rPr>
        <w:t>Dopo il saluto introduttivo del Ministro Antonio Tajani, grande spazio è stato dedicato agli sportivi e alle loro storie personali, simbolo di integrazione, formazione e crescita attraverso lo sport. Nei vari panel gli atleti hanno raccontato le proprie esperienze di successo, il valore educativo dello sport e il ruolo dello sport come occasione di inclusione, crescita personale e dialogo tra culture diverse.</w:t>
      </w:r>
    </w:p>
    <w:p w14:paraId="228AE764" w14:textId="77777777" w:rsidR="00B63395" w:rsidRPr="00B63395" w:rsidRDefault="00B63395" w:rsidP="001778BA">
      <w:pPr>
        <w:jc w:val="both"/>
        <w:rPr>
          <w:rFonts w:ascii="Times New Roman" w:hAnsi="Times New Roman" w:cs="Times New Roman"/>
        </w:rPr>
      </w:pPr>
    </w:p>
    <w:p w14:paraId="2D0F51A8" w14:textId="45DBAD16" w:rsidR="00B63395" w:rsidRDefault="00B63395" w:rsidP="001778BA">
      <w:pPr>
        <w:jc w:val="both"/>
        <w:rPr>
          <w:rFonts w:ascii="Times New Roman" w:hAnsi="Times New Roman" w:cs="Times New Roman"/>
        </w:rPr>
      </w:pPr>
      <w:r w:rsidRPr="00B63395">
        <w:rPr>
          <w:rFonts w:ascii="Times New Roman" w:hAnsi="Times New Roman" w:cs="Times New Roman"/>
        </w:rPr>
        <w:t xml:space="preserve">Il primo panel ha affrontato la tematica dello sport come patrimonio condiviso e strumento di dialogo interculturale, mettendo al centro le esperienze di atleti che rappresentano oggi un ponte naturale tra Italia e Africa. Tra i protagonisti Daisy </w:t>
      </w:r>
      <w:proofErr w:type="spellStart"/>
      <w:r w:rsidRPr="00B63395">
        <w:rPr>
          <w:rFonts w:ascii="Times New Roman" w:hAnsi="Times New Roman" w:cs="Times New Roman"/>
        </w:rPr>
        <w:t>Oyemwenosa</w:t>
      </w:r>
      <w:proofErr w:type="spellEnd"/>
      <w:r w:rsidRPr="00B63395">
        <w:rPr>
          <w:rFonts w:ascii="Times New Roman" w:hAnsi="Times New Roman" w:cs="Times New Roman"/>
        </w:rPr>
        <w:t xml:space="preserve"> </w:t>
      </w:r>
      <w:proofErr w:type="spellStart"/>
      <w:r w:rsidRPr="00B63395">
        <w:rPr>
          <w:rFonts w:ascii="Times New Roman" w:hAnsi="Times New Roman" w:cs="Times New Roman"/>
        </w:rPr>
        <w:t>Osakue</w:t>
      </w:r>
      <w:proofErr w:type="spellEnd"/>
      <w:r w:rsidRPr="00B63395">
        <w:rPr>
          <w:rFonts w:ascii="Times New Roman" w:hAnsi="Times New Roman" w:cs="Times New Roman"/>
        </w:rPr>
        <w:t xml:space="preserve">, atleta italiana di seconda generazione nata a Torino da genitori nigeriani, due volte finalista olimpica e detentrice del record italiano nel lancio del disco; Maria Benedicta </w:t>
      </w:r>
      <w:proofErr w:type="spellStart"/>
      <w:r w:rsidRPr="00B63395">
        <w:rPr>
          <w:rFonts w:ascii="Times New Roman" w:hAnsi="Times New Roman" w:cs="Times New Roman"/>
        </w:rPr>
        <w:t>Chigbolu</w:t>
      </w:r>
      <w:proofErr w:type="spellEnd"/>
      <w:r w:rsidRPr="00B63395">
        <w:rPr>
          <w:rFonts w:ascii="Times New Roman" w:hAnsi="Times New Roman" w:cs="Times New Roman"/>
        </w:rPr>
        <w:t xml:space="preserve">, ex atleta azzurra dei 400 metri e romana di origini nigeriane; e </w:t>
      </w:r>
      <w:proofErr w:type="spellStart"/>
      <w:r w:rsidRPr="00B63395">
        <w:rPr>
          <w:rFonts w:ascii="Times New Roman" w:hAnsi="Times New Roman" w:cs="Times New Roman"/>
        </w:rPr>
        <w:t>Vénuste</w:t>
      </w:r>
      <w:proofErr w:type="spellEnd"/>
      <w:r w:rsidRPr="00B63395">
        <w:rPr>
          <w:rFonts w:ascii="Times New Roman" w:hAnsi="Times New Roman" w:cs="Times New Roman"/>
        </w:rPr>
        <w:t xml:space="preserve"> </w:t>
      </w:r>
      <w:proofErr w:type="spellStart"/>
      <w:r w:rsidRPr="00B63395">
        <w:rPr>
          <w:rFonts w:ascii="Times New Roman" w:hAnsi="Times New Roman" w:cs="Times New Roman"/>
        </w:rPr>
        <w:t>Niyongabo</w:t>
      </w:r>
      <w:proofErr w:type="spellEnd"/>
      <w:r w:rsidRPr="00B63395">
        <w:rPr>
          <w:rFonts w:ascii="Times New Roman" w:hAnsi="Times New Roman" w:cs="Times New Roman"/>
        </w:rPr>
        <w:t>, campione olimpico burundese nei 5000 metri ad Atlanta 1996 e oggi impegnato in Burundi in progetti di sport, istruzione e cooperazione giovanile. È intervenuto anche Fabrizio Cesana, tecnico italiano impegnato da oltre dieci anni nello sviluppo del calcio nella Repubblica del Congo e attuale Commissario Tecnico della Nazionale congolese.</w:t>
      </w:r>
    </w:p>
    <w:p w14:paraId="6961DCE9" w14:textId="77777777" w:rsidR="001778BA" w:rsidRDefault="001778BA">
      <w:pPr>
        <w:rPr>
          <w:rFonts w:ascii="Times New Roman" w:hAnsi="Times New Roman" w:cs="Times New Roman"/>
          <w:b/>
          <w:bCs/>
        </w:rPr>
      </w:pPr>
      <w:r>
        <w:rPr>
          <w:rFonts w:ascii="Times New Roman" w:hAnsi="Times New Roman" w:cs="Times New Roman"/>
          <w:b/>
          <w:bCs/>
        </w:rPr>
        <w:br w:type="page"/>
      </w:r>
    </w:p>
    <w:p w14:paraId="65F3D8E9" w14:textId="5C98B4ED" w:rsidR="00B63395" w:rsidRDefault="00B63395" w:rsidP="001778BA">
      <w:pPr>
        <w:jc w:val="both"/>
        <w:rPr>
          <w:rFonts w:ascii="Times New Roman" w:hAnsi="Times New Roman" w:cs="Times New Roman"/>
          <w:b/>
          <w:bCs/>
        </w:rPr>
      </w:pPr>
      <w:r>
        <w:rPr>
          <w:rFonts w:ascii="Times New Roman" w:hAnsi="Times New Roman" w:cs="Times New Roman"/>
          <w:b/>
          <w:bCs/>
        </w:rPr>
        <w:lastRenderedPageBreak/>
        <w:t>Traccia B</w:t>
      </w:r>
    </w:p>
    <w:p w14:paraId="2FEF05ED" w14:textId="77777777" w:rsidR="00B63395" w:rsidRPr="00B63395" w:rsidRDefault="00B63395" w:rsidP="001778BA">
      <w:pPr>
        <w:jc w:val="both"/>
        <w:rPr>
          <w:rFonts w:ascii="Times New Roman" w:hAnsi="Times New Roman" w:cs="Times New Roman"/>
        </w:rPr>
      </w:pPr>
      <w:r w:rsidRPr="00B63395">
        <w:rPr>
          <w:rFonts w:ascii="Times New Roman" w:hAnsi="Times New Roman" w:cs="Times New Roman"/>
        </w:rPr>
        <w:t>La cittadinanza italiana è regolata dalla legge 5 febbraio 1992, n. 91 (e relativi regolamenti di esecuzione: in particolare il DPR 12 ottobre 1993, n. 572 e il DPR 18 aprile 1994, n. 362) che, a differenza della legge precedente, rivaluta il peso della volontà individuale nell’acquisto e nella perdita della cittadinanza e riconosce il diritto alla titolarità contemporanea di più cittadinanze.</w:t>
      </w:r>
    </w:p>
    <w:p w14:paraId="7FC32E1C" w14:textId="77777777" w:rsidR="00B63395" w:rsidRPr="00B63395" w:rsidRDefault="00B63395" w:rsidP="001778BA">
      <w:pPr>
        <w:jc w:val="both"/>
        <w:rPr>
          <w:rFonts w:ascii="Times New Roman" w:hAnsi="Times New Roman" w:cs="Times New Roman"/>
        </w:rPr>
      </w:pPr>
      <w:r w:rsidRPr="00B63395">
        <w:rPr>
          <w:rFonts w:ascii="Times New Roman" w:hAnsi="Times New Roman" w:cs="Times New Roman"/>
        </w:rPr>
        <w:t>I principi su cui si basa la cittadinanza italiana sono:</w:t>
      </w:r>
    </w:p>
    <w:p w14:paraId="7DCCE047" w14:textId="77777777" w:rsidR="00B63395" w:rsidRPr="00B63395" w:rsidRDefault="00B63395" w:rsidP="001778BA">
      <w:pPr>
        <w:numPr>
          <w:ilvl w:val="0"/>
          <w:numId w:val="1"/>
        </w:numPr>
        <w:jc w:val="both"/>
        <w:rPr>
          <w:rFonts w:ascii="Times New Roman" w:hAnsi="Times New Roman" w:cs="Times New Roman"/>
        </w:rPr>
      </w:pPr>
      <w:r w:rsidRPr="00B63395">
        <w:rPr>
          <w:rFonts w:ascii="Times New Roman" w:hAnsi="Times New Roman" w:cs="Times New Roman"/>
        </w:rPr>
        <w:t>la trasmissibilità della cittadinanza per discendenza (principio dello “</w:t>
      </w:r>
      <w:r w:rsidRPr="00B63395">
        <w:rPr>
          <w:rFonts w:ascii="Times New Roman" w:hAnsi="Times New Roman" w:cs="Times New Roman"/>
          <w:i/>
          <w:iCs/>
        </w:rPr>
        <w:t>ius sanguinis</w:t>
      </w:r>
      <w:r w:rsidRPr="00B63395">
        <w:rPr>
          <w:rFonts w:ascii="Times New Roman" w:hAnsi="Times New Roman" w:cs="Times New Roman"/>
        </w:rPr>
        <w:t>”);</w:t>
      </w:r>
    </w:p>
    <w:p w14:paraId="37C50A97" w14:textId="77777777" w:rsidR="00B63395" w:rsidRPr="00B63395" w:rsidRDefault="00B63395" w:rsidP="001778BA">
      <w:pPr>
        <w:numPr>
          <w:ilvl w:val="0"/>
          <w:numId w:val="1"/>
        </w:numPr>
        <w:jc w:val="both"/>
        <w:rPr>
          <w:rFonts w:ascii="Times New Roman" w:hAnsi="Times New Roman" w:cs="Times New Roman"/>
        </w:rPr>
      </w:pPr>
      <w:r w:rsidRPr="00B63395">
        <w:rPr>
          <w:rFonts w:ascii="Times New Roman" w:hAnsi="Times New Roman" w:cs="Times New Roman"/>
        </w:rPr>
        <w:t>l’acquisto “</w:t>
      </w:r>
      <w:r w:rsidRPr="00B63395">
        <w:rPr>
          <w:rFonts w:ascii="Times New Roman" w:hAnsi="Times New Roman" w:cs="Times New Roman"/>
          <w:i/>
          <w:iCs/>
        </w:rPr>
        <w:t>iure soli</w:t>
      </w:r>
      <w:r w:rsidRPr="00B63395">
        <w:rPr>
          <w:rFonts w:ascii="Times New Roman" w:hAnsi="Times New Roman" w:cs="Times New Roman"/>
        </w:rPr>
        <w:t>” (per nascita sul territorio) in alcuni residuali casi;</w:t>
      </w:r>
    </w:p>
    <w:p w14:paraId="1D341401" w14:textId="77777777" w:rsidR="00B63395" w:rsidRPr="00B63395" w:rsidRDefault="00B63395" w:rsidP="001778BA">
      <w:pPr>
        <w:numPr>
          <w:ilvl w:val="0"/>
          <w:numId w:val="1"/>
        </w:numPr>
        <w:jc w:val="both"/>
        <w:rPr>
          <w:rFonts w:ascii="Times New Roman" w:hAnsi="Times New Roman" w:cs="Times New Roman"/>
        </w:rPr>
      </w:pPr>
      <w:r w:rsidRPr="00B63395">
        <w:rPr>
          <w:rFonts w:ascii="Times New Roman" w:hAnsi="Times New Roman" w:cs="Times New Roman"/>
        </w:rPr>
        <w:t>la possibilità di cittadinanza multipla;</w:t>
      </w:r>
    </w:p>
    <w:p w14:paraId="71F03956" w14:textId="77777777" w:rsidR="00B63395" w:rsidRPr="00B63395" w:rsidRDefault="00B63395" w:rsidP="001778BA">
      <w:pPr>
        <w:numPr>
          <w:ilvl w:val="0"/>
          <w:numId w:val="1"/>
        </w:numPr>
        <w:jc w:val="both"/>
        <w:rPr>
          <w:rFonts w:ascii="Times New Roman" w:hAnsi="Times New Roman" w:cs="Times New Roman"/>
        </w:rPr>
      </w:pPr>
      <w:r w:rsidRPr="00B63395">
        <w:rPr>
          <w:rFonts w:ascii="Times New Roman" w:hAnsi="Times New Roman" w:cs="Times New Roman"/>
        </w:rPr>
        <w:t>la manifestazione di volontà per acquisto e perdita;</w:t>
      </w:r>
    </w:p>
    <w:p w14:paraId="27D48351" w14:textId="77777777" w:rsidR="00B63395" w:rsidRPr="00B63395" w:rsidRDefault="00B63395" w:rsidP="001778BA">
      <w:pPr>
        <w:jc w:val="both"/>
        <w:rPr>
          <w:rFonts w:ascii="Times New Roman" w:hAnsi="Times New Roman" w:cs="Times New Roman"/>
        </w:rPr>
      </w:pPr>
      <w:r w:rsidRPr="00B63395">
        <w:rPr>
          <w:rFonts w:ascii="Times New Roman" w:hAnsi="Times New Roman" w:cs="Times New Roman"/>
        </w:rPr>
        <w:t>A partire dal 16 agosto 1992 (data di entrata in vigore della legge n. 91/92) l’acquisto di una cittadinanza straniera non determina la perdita della cittadinanza italiana a meno che il cittadino italiano non vi rinunci formalmente (art. 11 legge n. 91/92), salvo disposizioni di accordi internazionali.</w:t>
      </w:r>
    </w:p>
    <w:p w14:paraId="69FF540F" w14:textId="0ACDA6B8" w:rsidR="00B63395" w:rsidRPr="00B63395" w:rsidRDefault="00B63395" w:rsidP="001778BA">
      <w:pPr>
        <w:jc w:val="both"/>
        <w:rPr>
          <w:rFonts w:ascii="Times New Roman" w:hAnsi="Times New Roman" w:cs="Times New Roman"/>
        </w:rPr>
      </w:pPr>
      <w:r w:rsidRPr="00B63395">
        <w:rPr>
          <w:rFonts w:ascii="Times New Roman" w:hAnsi="Times New Roman" w:cs="Times New Roman"/>
        </w:rPr>
        <w:t>L’art. 1 della legge n. 91/92 stabilisce che è cittadino per nascita il figlio di padre o madre cittadini. Viene, quindi, confermato il principio dello ius sanguinis, già presente nella previgente legislazione, come principio cardine per l’acquisto della cittadinanza mentre lo ius soli resta un’ipotesi eccezionale e residuale.</w:t>
      </w:r>
    </w:p>
    <w:p w14:paraId="19B4AD46" w14:textId="3CCEF79C" w:rsidR="00B63395" w:rsidRPr="00B63395" w:rsidRDefault="00B63395" w:rsidP="001778BA">
      <w:pPr>
        <w:jc w:val="both"/>
        <w:rPr>
          <w:rFonts w:ascii="Times New Roman" w:hAnsi="Times New Roman" w:cs="Times New Roman"/>
        </w:rPr>
      </w:pPr>
      <w:r w:rsidRPr="00B63395">
        <w:rPr>
          <w:rFonts w:ascii="Times New Roman" w:hAnsi="Times New Roman" w:cs="Times New Roman"/>
        </w:rPr>
        <w:t xml:space="preserve">Nel dichiarare esplicitamente che anche la madre trasmette la cittadinanza, l’articolo recepisce in pieno il principio di parità tra uomo e donna per quanto attiene alla trasmissione dello status </w:t>
      </w:r>
      <w:proofErr w:type="spellStart"/>
      <w:r w:rsidRPr="00B63395">
        <w:rPr>
          <w:rFonts w:ascii="Times New Roman" w:hAnsi="Times New Roman" w:cs="Times New Roman"/>
        </w:rPr>
        <w:t>civitatis</w:t>
      </w:r>
      <w:proofErr w:type="spellEnd"/>
      <w:r w:rsidRPr="00B63395">
        <w:rPr>
          <w:rFonts w:ascii="Times New Roman" w:hAnsi="Times New Roman" w:cs="Times New Roman"/>
        </w:rPr>
        <w:t>.</w:t>
      </w:r>
    </w:p>
    <w:p w14:paraId="02DE1608" w14:textId="7354293C" w:rsidR="00B63395" w:rsidRPr="00B63395" w:rsidRDefault="00B63395" w:rsidP="001778BA">
      <w:pPr>
        <w:jc w:val="both"/>
        <w:rPr>
          <w:rFonts w:ascii="Times New Roman" w:hAnsi="Times New Roman" w:cs="Times New Roman"/>
        </w:rPr>
      </w:pPr>
      <w:r w:rsidRPr="00B63395">
        <w:rPr>
          <w:rFonts w:ascii="Times New Roman" w:hAnsi="Times New Roman" w:cs="Times New Roman"/>
        </w:rPr>
        <w:t>L’autorità competente ad effettuare l’accertamento è determinata in base al luogo di residenza: per i residenti all’estero è l’Ufficio consolare territorialmente competente.</w:t>
      </w:r>
    </w:p>
    <w:p w14:paraId="34D8EAF3" w14:textId="77777777" w:rsidR="001778BA" w:rsidRDefault="001778BA">
      <w:pPr>
        <w:rPr>
          <w:rFonts w:ascii="Times New Roman" w:hAnsi="Times New Roman" w:cs="Times New Roman"/>
          <w:b/>
          <w:bCs/>
        </w:rPr>
      </w:pPr>
      <w:r>
        <w:rPr>
          <w:rFonts w:ascii="Times New Roman" w:hAnsi="Times New Roman" w:cs="Times New Roman"/>
          <w:b/>
          <w:bCs/>
        </w:rPr>
        <w:br w:type="page"/>
      </w:r>
    </w:p>
    <w:p w14:paraId="39D8D927" w14:textId="6A64B74D" w:rsidR="00B63395" w:rsidRDefault="00B63395" w:rsidP="001778BA">
      <w:pPr>
        <w:jc w:val="both"/>
        <w:rPr>
          <w:rFonts w:ascii="Times New Roman" w:hAnsi="Times New Roman" w:cs="Times New Roman"/>
          <w:b/>
          <w:bCs/>
        </w:rPr>
      </w:pPr>
      <w:r>
        <w:rPr>
          <w:rFonts w:ascii="Times New Roman" w:hAnsi="Times New Roman" w:cs="Times New Roman"/>
          <w:b/>
          <w:bCs/>
        </w:rPr>
        <w:lastRenderedPageBreak/>
        <w:t>Traccia C</w:t>
      </w:r>
    </w:p>
    <w:p w14:paraId="2C2C6AAC" w14:textId="74600DD2" w:rsidR="00BB20C2" w:rsidRPr="00BB20C2" w:rsidRDefault="00BB20C2" w:rsidP="001778BA">
      <w:pPr>
        <w:jc w:val="both"/>
        <w:rPr>
          <w:rFonts w:ascii="Times New Roman" w:hAnsi="Times New Roman" w:cs="Times New Roman"/>
        </w:rPr>
      </w:pPr>
      <w:r w:rsidRPr="00BB20C2">
        <w:rPr>
          <w:rFonts w:ascii="Times New Roman" w:hAnsi="Times New Roman" w:cs="Times New Roman"/>
        </w:rPr>
        <w:t xml:space="preserve">È aperto il bando per la presentazione delle candidature a 47 posizioni del Programma Giovani Funzionari delle Organizzazioni Internazionali, noto anche come Programma JPO. 14 posizioni sono state attribuite a diverse entità del Segretariato delle Nazioni Unite e 33 a 25 organizzazioni internazionali per un totale di 24 sedi. 45 posizioni </w:t>
      </w:r>
      <w:proofErr w:type="gramStart"/>
      <w:r w:rsidRPr="00BB20C2">
        <w:rPr>
          <w:rFonts w:ascii="Times New Roman" w:hAnsi="Times New Roman" w:cs="Times New Roman"/>
        </w:rPr>
        <w:t>sono stat</w:t>
      </w:r>
      <w:r>
        <w:rPr>
          <w:rFonts w:ascii="Times New Roman" w:hAnsi="Times New Roman" w:cs="Times New Roman"/>
        </w:rPr>
        <w:t>e</w:t>
      </w:r>
      <w:r w:rsidRPr="00BB20C2">
        <w:rPr>
          <w:rFonts w:ascii="Times New Roman" w:hAnsi="Times New Roman" w:cs="Times New Roman"/>
        </w:rPr>
        <w:t xml:space="preserve"> assegnat</w:t>
      </w:r>
      <w:r>
        <w:rPr>
          <w:rFonts w:ascii="Times New Roman" w:hAnsi="Times New Roman" w:cs="Times New Roman"/>
        </w:rPr>
        <w:t>e</w:t>
      </w:r>
      <w:proofErr w:type="gramEnd"/>
      <w:r w:rsidRPr="00BB20C2">
        <w:rPr>
          <w:rFonts w:ascii="Times New Roman" w:hAnsi="Times New Roman" w:cs="Times New Roman"/>
        </w:rPr>
        <w:t xml:space="preserve"> a candidati di nazionalità italiana e 2 posizioni a candidati da paesi in via di sviluppo.</w:t>
      </w:r>
    </w:p>
    <w:p w14:paraId="404DDAFE" w14:textId="64445D79" w:rsidR="00BB20C2" w:rsidRPr="00BB20C2" w:rsidRDefault="00BB20C2" w:rsidP="001778BA">
      <w:pPr>
        <w:jc w:val="both"/>
        <w:rPr>
          <w:rFonts w:ascii="Times New Roman" w:hAnsi="Times New Roman" w:cs="Times New Roman"/>
        </w:rPr>
      </w:pPr>
      <w:r w:rsidRPr="00BB20C2">
        <w:rPr>
          <w:rFonts w:ascii="Times New Roman" w:hAnsi="Times New Roman" w:cs="Times New Roman"/>
        </w:rPr>
        <w:t xml:space="preserve">Le job </w:t>
      </w:r>
      <w:proofErr w:type="spellStart"/>
      <w:r w:rsidRPr="00BB20C2">
        <w:rPr>
          <w:rFonts w:ascii="Times New Roman" w:hAnsi="Times New Roman" w:cs="Times New Roman"/>
        </w:rPr>
        <w:t>descriptions</w:t>
      </w:r>
      <w:proofErr w:type="spellEnd"/>
      <w:r w:rsidRPr="00BB20C2">
        <w:rPr>
          <w:rFonts w:ascii="Times New Roman" w:hAnsi="Times New Roman" w:cs="Times New Roman"/>
        </w:rPr>
        <w:t xml:space="preserve"> delle posizioni JPO per le quali è possibile presentare la propria candidatura sono reperibili presso il sito web www.undesa.it.</w:t>
      </w:r>
    </w:p>
    <w:p w14:paraId="27A93E5B" w14:textId="0E1C31A7" w:rsidR="00BB20C2" w:rsidRPr="00BB20C2" w:rsidRDefault="00BB20C2" w:rsidP="001778BA">
      <w:pPr>
        <w:jc w:val="both"/>
        <w:rPr>
          <w:rFonts w:ascii="Times New Roman" w:hAnsi="Times New Roman" w:cs="Times New Roman"/>
        </w:rPr>
      </w:pPr>
      <w:r w:rsidRPr="00BB20C2">
        <w:rPr>
          <w:rFonts w:ascii="Times New Roman" w:hAnsi="Times New Roman" w:cs="Times New Roman"/>
        </w:rPr>
        <w:t xml:space="preserve"> La scadenza per l’invio online delle candidature all’edizione 2026 del Programma JPO italiano è martedì 5 maggio 2026 alle ore 15:00 (ora italiana).</w:t>
      </w:r>
    </w:p>
    <w:p w14:paraId="3976B365" w14:textId="6AA97EF9" w:rsidR="00BB20C2" w:rsidRPr="00BB20C2" w:rsidRDefault="00BB20C2" w:rsidP="001778BA">
      <w:pPr>
        <w:jc w:val="both"/>
        <w:rPr>
          <w:rFonts w:ascii="Times New Roman" w:hAnsi="Times New Roman" w:cs="Times New Roman"/>
        </w:rPr>
      </w:pPr>
      <w:r w:rsidRPr="00BB20C2">
        <w:rPr>
          <w:rFonts w:ascii="Times New Roman" w:hAnsi="Times New Roman" w:cs="Times New Roman"/>
        </w:rPr>
        <w:t xml:space="preserve"> Il Programma JPO è un’iniziativa finanziata dal Governo italiano attraverso la Direzione Generale per la Cooperazione allo Sviluppo del Ministero degli Affari Esteri e della Cooperazione Internazionale (MAECI) e curata dal Dipartimento degli Affari Economici e Sociali delle Nazioni Unite (UN/DESA). Il Programma permette a giovani qualificati di acquisire un’esperienza formativa e professionale nelle organizzazioni internazionali per un periodo di due anni, con la possibilità di un’eventuale estensione di un anno.</w:t>
      </w:r>
    </w:p>
    <w:p w14:paraId="65B1D0BF" w14:textId="03791637" w:rsidR="00BB20C2" w:rsidRPr="00BB20C2" w:rsidRDefault="00BB20C2" w:rsidP="001778BA">
      <w:pPr>
        <w:jc w:val="both"/>
        <w:rPr>
          <w:rFonts w:ascii="Times New Roman" w:hAnsi="Times New Roman" w:cs="Times New Roman"/>
        </w:rPr>
      </w:pPr>
      <w:r w:rsidRPr="00BB20C2">
        <w:rPr>
          <w:rFonts w:ascii="Times New Roman" w:hAnsi="Times New Roman" w:cs="Times New Roman"/>
        </w:rPr>
        <w:t>Lo scopo del Programma è duplice: a) favorisce le attività di cooperazione delle organizzazioni internazionali associando giovani talenti ad iniziative di sviluppo; b) consente a giovani professionisti che aspirano a una carriera internazionale di maturare esperienze rilevanti che potrebbero ampliarne le possibilità di reclutamento da parte delle organizzazioni stesse o in ambito internazionale.</w:t>
      </w:r>
    </w:p>
    <w:p w14:paraId="40B7A791" w14:textId="35940511" w:rsidR="00F154CB" w:rsidRDefault="00BB20C2" w:rsidP="001778BA">
      <w:pPr>
        <w:jc w:val="both"/>
        <w:rPr>
          <w:rFonts w:ascii="Times New Roman" w:hAnsi="Times New Roman" w:cs="Times New Roman"/>
        </w:rPr>
      </w:pPr>
      <w:r w:rsidRPr="00BB20C2">
        <w:rPr>
          <w:rFonts w:ascii="Times New Roman" w:hAnsi="Times New Roman" w:cs="Times New Roman"/>
        </w:rPr>
        <w:t>Gli interessati dovranno accedere all’apposita piattaforma online e, seguendo le istruzioni indicate, potranno presentare la propria candidatura per la posizione prescelta. Sarà possibile candidarsi ad un massimo di due posizioni.</w:t>
      </w:r>
    </w:p>
    <w:p w14:paraId="0A933359" w14:textId="77777777" w:rsidR="00F154CB" w:rsidRDefault="00F154CB">
      <w:pPr>
        <w:rPr>
          <w:rFonts w:ascii="Times New Roman" w:hAnsi="Times New Roman" w:cs="Times New Roman"/>
        </w:rPr>
      </w:pPr>
      <w:r>
        <w:rPr>
          <w:rFonts w:ascii="Times New Roman" w:hAnsi="Times New Roman" w:cs="Times New Roman"/>
        </w:rPr>
        <w:br w:type="page"/>
      </w:r>
    </w:p>
    <w:sectPr w:rsidR="00F154C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C06C8D"/>
    <w:multiLevelType w:val="hybridMultilevel"/>
    <w:tmpl w:val="54BE50E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E660225"/>
    <w:multiLevelType w:val="hybridMultilevel"/>
    <w:tmpl w:val="F1DE5D2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0B927B4"/>
    <w:multiLevelType w:val="multilevel"/>
    <w:tmpl w:val="BA526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201700"/>
    <w:multiLevelType w:val="hybridMultilevel"/>
    <w:tmpl w:val="02C233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98610803">
    <w:abstractNumId w:val="2"/>
  </w:num>
  <w:num w:numId="2" w16cid:durableId="1335718440">
    <w:abstractNumId w:val="0"/>
  </w:num>
  <w:num w:numId="3" w16cid:durableId="1560897547">
    <w:abstractNumId w:val="1"/>
  </w:num>
  <w:num w:numId="4" w16cid:durableId="120640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A40"/>
    <w:rsid w:val="001778BA"/>
    <w:rsid w:val="004E3945"/>
    <w:rsid w:val="005B2A90"/>
    <w:rsid w:val="006E7D2E"/>
    <w:rsid w:val="00724A40"/>
    <w:rsid w:val="009420A3"/>
    <w:rsid w:val="00A56C02"/>
    <w:rsid w:val="00B63395"/>
    <w:rsid w:val="00BB20C2"/>
    <w:rsid w:val="00C5103A"/>
    <w:rsid w:val="00E519A7"/>
    <w:rsid w:val="00F154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7004D"/>
  <w15:chartTrackingRefBased/>
  <w15:docId w15:val="{57678F8F-A85E-42EB-A95C-BC729A75D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24A4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724A4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724A40"/>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724A40"/>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724A40"/>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724A4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24A4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24A4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24A4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24A40"/>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724A40"/>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724A40"/>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724A40"/>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724A40"/>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724A4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24A4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24A4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24A40"/>
    <w:rPr>
      <w:rFonts w:eastAsiaTheme="majorEastAsia" w:cstheme="majorBidi"/>
      <w:color w:val="272727" w:themeColor="text1" w:themeTint="D8"/>
    </w:rPr>
  </w:style>
  <w:style w:type="paragraph" w:styleId="Titolo">
    <w:name w:val="Title"/>
    <w:basedOn w:val="Normale"/>
    <w:next w:val="Normale"/>
    <w:link w:val="TitoloCarattere"/>
    <w:uiPriority w:val="10"/>
    <w:qFormat/>
    <w:rsid w:val="00724A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24A4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24A4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24A4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24A4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24A40"/>
    <w:rPr>
      <w:i/>
      <w:iCs/>
      <w:color w:val="404040" w:themeColor="text1" w:themeTint="BF"/>
    </w:rPr>
  </w:style>
  <w:style w:type="paragraph" w:styleId="Paragrafoelenco">
    <w:name w:val="List Paragraph"/>
    <w:basedOn w:val="Normale"/>
    <w:uiPriority w:val="34"/>
    <w:qFormat/>
    <w:rsid w:val="00724A40"/>
    <w:pPr>
      <w:ind w:left="720"/>
      <w:contextualSpacing/>
    </w:pPr>
  </w:style>
  <w:style w:type="character" w:styleId="Enfasiintensa">
    <w:name w:val="Intense Emphasis"/>
    <w:basedOn w:val="Carpredefinitoparagrafo"/>
    <w:uiPriority w:val="21"/>
    <w:qFormat/>
    <w:rsid w:val="00724A40"/>
    <w:rPr>
      <w:i/>
      <w:iCs/>
      <w:color w:val="2E74B5" w:themeColor="accent1" w:themeShade="BF"/>
    </w:rPr>
  </w:style>
  <w:style w:type="paragraph" w:styleId="Citazioneintensa">
    <w:name w:val="Intense Quote"/>
    <w:basedOn w:val="Normale"/>
    <w:next w:val="Normale"/>
    <w:link w:val="CitazioneintensaCarattere"/>
    <w:uiPriority w:val="30"/>
    <w:qFormat/>
    <w:rsid w:val="00724A4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724A40"/>
    <w:rPr>
      <w:i/>
      <w:iCs/>
      <w:color w:val="2E74B5" w:themeColor="accent1" w:themeShade="BF"/>
    </w:rPr>
  </w:style>
  <w:style w:type="character" w:styleId="Riferimentointenso">
    <w:name w:val="Intense Reference"/>
    <w:basedOn w:val="Carpredefinitoparagrafo"/>
    <w:uiPriority w:val="32"/>
    <w:qFormat/>
    <w:rsid w:val="00724A4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201185">
      <w:bodyDiv w:val="1"/>
      <w:marLeft w:val="0"/>
      <w:marRight w:val="0"/>
      <w:marTop w:val="0"/>
      <w:marBottom w:val="0"/>
      <w:divBdr>
        <w:top w:val="none" w:sz="0" w:space="0" w:color="auto"/>
        <w:left w:val="none" w:sz="0" w:space="0" w:color="auto"/>
        <w:bottom w:val="none" w:sz="0" w:space="0" w:color="auto"/>
        <w:right w:val="none" w:sz="0" w:space="0" w:color="auto"/>
      </w:divBdr>
    </w:div>
    <w:div w:id="43066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826</Words>
  <Characters>4714</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Ministero Affari Esteri</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Esposito</dc:creator>
  <cp:keywords/>
  <dc:description/>
  <cp:lastModifiedBy>Marco Esposito</cp:lastModifiedBy>
  <cp:revision>4</cp:revision>
  <cp:lastPrinted>2026-06-01T08:45:00Z</cp:lastPrinted>
  <dcterms:created xsi:type="dcterms:W3CDTF">2026-05-28T08:55:00Z</dcterms:created>
  <dcterms:modified xsi:type="dcterms:W3CDTF">2026-06-22T14:09:00Z</dcterms:modified>
</cp:coreProperties>
</file>