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CA2" w:rsidRPr="00180CA2" w:rsidRDefault="00180CA2" w:rsidP="00180CA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180CA2">
        <w:rPr>
          <w:rFonts w:ascii="Times New Roman" w:eastAsia="Times New Roman" w:hAnsi="Times New Roman" w:cs="Times New Roman"/>
          <w:b/>
          <w:bCs/>
          <w:sz w:val="24"/>
          <w:szCs w:val="24"/>
          <w:lang w:eastAsia="it-IT"/>
        </w:rPr>
        <w:t>La cittadinanza italiana: breve introduzione</w:t>
      </w:r>
    </w:p>
    <w:p w:rsidR="00180CA2" w:rsidRPr="00180CA2" w:rsidRDefault="00180CA2" w:rsidP="00180CA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80CA2">
        <w:rPr>
          <w:rFonts w:ascii="Times New Roman" w:eastAsia="Times New Roman" w:hAnsi="Times New Roman" w:cs="Times New Roman"/>
          <w:sz w:val="24"/>
          <w:szCs w:val="24"/>
          <w:lang w:eastAsia="it-IT"/>
        </w:rPr>
        <w:t>La cittadinanza italiana è regolata dalla legge 5 febbraio 1992, n. 91 (e relativi regolamenti di esecuzione: in particolare il DPR 12 ottobre 1993, n. 572 e il DPR 18 aprile 1994, n. 362) che, a differenza della legge precedente, rivaluta il peso della volontà individuale nell’acquisto e nella perdita della cittadinanza e riconosce il diritto alla titolarità contemporanea di più cittadinanze.</w:t>
      </w:r>
    </w:p>
    <w:p w:rsidR="00180CA2" w:rsidRPr="00180CA2" w:rsidRDefault="00180CA2" w:rsidP="00180CA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80CA2">
        <w:rPr>
          <w:rFonts w:ascii="Times New Roman" w:eastAsia="Times New Roman" w:hAnsi="Times New Roman" w:cs="Times New Roman"/>
          <w:sz w:val="24"/>
          <w:szCs w:val="24"/>
          <w:lang w:eastAsia="it-IT"/>
        </w:rPr>
        <w:t>I principi su cui si basa la cittadinanza italiana sono:</w:t>
      </w:r>
    </w:p>
    <w:p w:rsidR="00180CA2" w:rsidRPr="00180CA2" w:rsidRDefault="00180CA2" w:rsidP="00180CA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180CA2">
        <w:rPr>
          <w:rFonts w:ascii="Times New Roman" w:eastAsia="Times New Roman" w:hAnsi="Times New Roman" w:cs="Times New Roman"/>
          <w:sz w:val="24"/>
          <w:szCs w:val="24"/>
          <w:lang w:eastAsia="it-IT"/>
        </w:rPr>
        <w:t>la trasmissibilità della cittadinanza per discendenza (principio dello “</w:t>
      </w:r>
      <w:proofErr w:type="spellStart"/>
      <w:r w:rsidRPr="00180CA2">
        <w:rPr>
          <w:rFonts w:ascii="Times New Roman" w:eastAsia="Times New Roman" w:hAnsi="Times New Roman" w:cs="Times New Roman"/>
          <w:i/>
          <w:iCs/>
          <w:sz w:val="24"/>
          <w:szCs w:val="24"/>
          <w:lang w:eastAsia="it-IT"/>
        </w:rPr>
        <w:t>ius</w:t>
      </w:r>
      <w:proofErr w:type="spellEnd"/>
      <w:r w:rsidRPr="00180CA2">
        <w:rPr>
          <w:rFonts w:ascii="Times New Roman" w:eastAsia="Times New Roman" w:hAnsi="Times New Roman" w:cs="Times New Roman"/>
          <w:i/>
          <w:iCs/>
          <w:sz w:val="24"/>
          <w:szCs w:val="24"/>
          <w:lang w:eastAsia="it-IT"/>
        </w:rPr>
        <w:t xml:space="preserve"> </w:t>
      </w:r>
      <w:proofErr w:type="spellStart"/>
      <w:r w:rsidRPr="00180CA2">
        <w:rPr>
          <w:rFonts w:ascii="Times New Roman" w:eastAsia="Times New Roman" w:hAnsi="Times New Roman" w:cs="Times New Roman"/>
          <w:i/>
          <w:iCs/>
          <w:sz w:val="24"/>
          <w:szCs w:val="24"/>
          <w:lang w:eastAsia="it-IT"/>
        </w:rPr>
        <w:t>sanguinis</w:t>
      </w:r>
      <w:proofErr w:type="spellEnd"/>
      <w:r w:rsidRPr="00180CA2">
        <w:rPr>
          <w:rFonts w:ascii="Times New Roman" w:eastAsia="Times New Roman" w:hAnsi="Times New Roman" w:cs="Times New Roman"/>
          <w:sz w:val="24"/>
          <w:szCs w:val="24"/>
          <w:lang w:eastAsia="it-IT"/>
        </w:rPr>
        <w:t>”);</w:t>
      </w:r>
    </w:p>
    <w:p w:rsidR="00180CA2" w:rsidRPr="00180CA2" w:rsidRDefault="00180CA2" w:rsidP="00180CA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180CA2">
        <w:rPr>
          <w:rFonts w:ascii="Times New Roman" w:eastAsia="Times New Roman" w:hAnsi="Times New Roman" w:cs="Times New Roman"/>
          <w:sz w:val="24"/>
          <w:szCs w:val="24"/>
          <w:lang w:eastAsia="it-IT"/>
        </w:rPr>
        <w:t>l’acquisto “</w:t>
      </w:r>
      <w:r w:rsidRPr="00180CA2">
        <w:rPr>
          <w:rFonts w:ascii="Times New Roman" w:eastAsia="Times New Roman" w:hAnsi="Times New Roman" w:cs="Times New Roman"/>
          <w:i/>
          <w:iCs/>
          <w:sz w:val="24"/>
          <w:szCs w:val="24"/>
          <w:lang w:eastAsia="it-IT"/>
        </w:rPr>
        <w:t>iure soli</w:t>
      </w:r>
      <w:r w:rsidRPr="00180CA2">
        <w:rPr>
          <w:rFonts w:ascii="Times New Roman" w:eastAsia="Times New Roman" w:hAnsi="Times New Roman" w:cs="Times New Roman"/>
          <w:sz w:val="24"/>
          <w:szCs w:val="24"/>
          <w:lang w:eastAsia="it-IT"/>
        </w:rPr>
        <w:t>” (per nascita sul territorio) in alcuni residuali casi;</w:t>
      </w:r>
    </w:p>
    <w:p w:rsidR="00180CA2" w:rsidRPr="00180CA2" w:rsidRDefault="00180CA2" w:rsidP="00180CA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180CA2">
        <w:rPr>
          <w:rFonts w:ascii="Times New Roman" w:eastAsia="Times New Roman" w:hAnsi="Times New Roman" w:cs="Times New Roman"/>
          <w:sz w:val="24"/>
          <w:szCs w:val="24"/>
          <w:lang w:eastAsia="it-IT"/>
        </w:rPr>
        <w:t>la possibilità di cittadinanza multipla;</w:t>
      </w:r>
    </w:p>
    <w:p w:rsidR="00180CA2" w:rsidRPr="00180CA2" w:rsidRDefault="00180CA2" w:rsidP="00180CA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180CA2">
        <w:rPr>
          <w:rFonts w:ascii="Times New Roman" w:eastAsia="Times New Roman" w:hAnsi="Times New Roman" w:cs="Times New Roman"/>
          <w:sz w:val="24"/>
          <w:szCs w:val="24"/>
          <w:lang w:eastAsia="it-IT"/>
        </w:rPr>
        <w:t>la manifestazione di volontà per acquisto e perdita;</w:t>
      </w:r>
    </w:p>
    <w:p w:rsidR="00180CA2" w:rsidRPr="00180CA2" w:rsidRDefault="00180CA2" w:rsidP="00180CA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it-IT"/>
        </w:rPr>
      </w:pPr>
      <w:r w:rsidRPr="00180CA2">
        <w:rPr>
          <w:rFonts w:ascii="Times New Roman" w:eastAsia="Times New Roman" w:hAnsi="Times New Roman" w:cs="Times New Roman"/>
          <w:b/>
          <w:bCs/>
          <w:sz w:val="24"/>
          <w:szCs w:val="24"/>
          <w:lang w:eastAsia="it-IT"/>
        </w:rPr>
        <w:t>Acquisto della cittadinanza</w:t>
      </w:r>
    </w:p>
    <w:p w:rsidR="00180CA2" w:rsidRPr="00180CA2" w:rsidRDefault="00180CA2" w:rsidP="00180CA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80CA2">
        <w:rPr>
          <w:rFonts w:ascii="Times New Roman" w:eastAsia="Times New Roman" w:hAnsi="Times New Roman" w:cs="Times New Roman"/>
          <w:sz w:val="24"/>
          <w:szCs w:val="24"/>
          <w:lang w:eastAsia="it-IT"/>
        </w:rPr>
        <w:t xml:space="preserve">La cittadinanza italiana può essere acquisita secondo le modalità di seguito riportate. Con l’introduzione del D.L. 28 marzo 2025, n. 36, convertito, con modificazioni, dalla legge 23 maggio 2025, n. 74, l’acquisto automatico della cittadinanza di cui ai punti 2.1, 2.2 e 2.3 per i nati all’estero in possesso di altra cittadinanza è </w:t>
      </w:r>
      <w:r w:rsidRPr="00180CA2">
        <w:rPr>
          <w:rFonts w:ascii="Times New Roman" w:eastAsia="Times New Roman" w:hAnsi="Times New Roman" w:cs="Times New Roman"/>
          <w:b/>
          <w:bCs/>
          <w:sz w:val="24"/>
          <w:szCs w:val="24"/>
          <w:lang w:eastAsia="it-IT"/>
        </w:rPr>
        <w:t>subordinato</w:t>
      </w:r>
      <w:r w:rsidRPr="00180CA2">
        <w:rPr>
          <w:rFonts w:ascii="Times New Roman" w:eastAsia="Times New Roman" w:hAnsi="Times New Roman" w:cs="Times New Roman"/>
          <w:sz w:val="24"/>
          <w:szCs w:val="24"/>
          <w:lang w:eastAsia="it-IT"/>
        </w:rPr>
        <w:t xml:space="preserve"> alla sussistenza di una delle eccezioni previste dall’art. 3-bis della legge 5 febbraio 1992, n. 91. Per maggiori informazioni, si rimanda </w:t>
      </w:r>
      <w:hyperlink r:id="rId5" w:anchor="dl" w:history="1">
        <w:r w:rsidRPr="00180CA2">
          <w:rPr>
            <w:rFonts w:ascii="Times New Roman" w:eastAsia="Times New Roman" w:hAnsi="Times New Roman" w:cs="Times New Roman"/>
            <w:color w:val="0000FF"/>
            <w:sz w:val="24"/>
            <w:szCs w:val="24"/>
            <w:u w:val="single"/>
            <w:lang w:eastAsia="it-IT"/>
          </w:rPr>
          <w:t>qui</w:t>
        </w:r>
      </w:hyperlink>
      <w:r w:rsidRPr="00180CA2">
        <w:rPr>
          <w:rFonts w:ascii="Times New Roman" w:eastAsia="Times New Roman" w:hAnsi="Times New Roman" w:cs="Times New Roman"/>
          <w:sz w:val="24"/>
          <w:szCs w:val="24"/>
          <w:lang w:eastAsia="it-IT"/>
        </w:rPr>
        <w:t>.</w:t>
      </w:r>
    </w:p>
    <w:p w:rsidR="00180CA2" w:rsidRPr="00180CA2" w:rsidRDefault="00180CA2" w:rsidP="00180CA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80CA2">
        <w:rPr>
          <w:rFonts w:ascii="Times New Roman" w:eastAsia="Times New Roman" w:hAnsi="Times New Roman" w:cs="Times New Roman"/>
          <w:b/>
          <w:bCs/>
          <w:sz w:val="24"/>
          <w:szCs w:val="24"/>
          <w:lang w:eastAsia="it-IT"/>
        </w:rPr>
        <w:t xml:space="preserve">2.1 Cittadinanza per discendenza secondo il criterio dello </w:t>
      </w:r>
      <w:proofErr w:type="spellStart"/>
      <w:r w:rsidRPr="00180CA2">
        <w:rPr>
          <w:rFonts w:ascii="Times New Roman" w:eastAsia="Times New Roman" w:hAnsi="Times New Roman" w:cs="Times New Roman"/>
          <w:b/>
          <w:bCs/>
          <w:i/>
          <w:iCs/>
          <w:sz w:val="24"/>
          <w:szCs w:val="24"/>
          <w:lang w:eastAsia="it-IT"/>
        </w:rPr>
        <w:t>ius</w:t>
      </w:r>
      <w:proofErr w:type="spellEnd"/>
      <w:r w:rsidRPr="00180CA2">
        <w:rPr>
          <w:rFonts w:ascii="Times New Roman" w:eastAsia="Times New Roman" w:hAnsi="Times New Roman" w:cs="Times New Roman"/>
          <w:b/>
          <w:bCs/>
          <w:i/>
          <w:iCs/>
          <w:sz w:val="24"/>
          <w:szCs w:val="24"/>
          <w:lang w:eastAsia="it-IT"/>
        </w:rPr>
        <w:t xml:space="preserve"> </w:t>
      </w:r>
      <w:proofErr w:type="spellStart"/>
      <w:r w:rsidRPr="00180CA2">
        <w:rPr>
          <w:rFonts w:ascii="Times New Roman" w:eastAsia="Times New Roman" w:hAnsi="Times New Roman" w:cs="Times New Roman"/>
          <w:b/>
          <w:bCs/>
          <w:i/>
          <w:iCs/>
          <w:sz w:val="24"/>
          <w:szCs w:val="24"/>
          <w:lang w:eastAsia="it-IT"/>
        </w:rPr>
        <w:t>sanguinis</w:t>
      </w:r>
      <w:proofErr w:type="spellEnd"/>
    </w:p>
    <w:p w:rsidR="00180CA2" w:rsidRPr="00180CA2" w:rsidRDefault="00180CA2" w:rsidP="00180CA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80CA2">
        <w:rPr>
          <w:rFonts w:ascii="Times New Roman" w:eastAsia="Times New Roman" w:hAnsi="Times New Roman" w:cs="Times New Roman"/>
          <w:sz w:val="24"/>
          <w:szCs w:val="24"/>
          <w:lang w:eastAsia="it-IT"/>
        </w:rPr>
        <w:t xml:space="preserve">L’art. 1 della legge n. 91/92 stabilisce che è cittadino per nascita il figlio di padre o madre cittadini. Viene, quindi, confermato il principio dello </w:t>
      </w:r>
      <w:proofErr w:type="spellStart"/>
      <w:r w:rsidRPr="00180CA2">
        <w:rPr>
          <w:rFonts w:ascii="Times New Roman" w:eastAsia="Times New Roman" w:hAnsi="Times New Roman" w:cs="Times New Roman"/>
          <w:i/>
          <w:iCs/>
          <w:sz w:val="24"/>
          <w:szCs w:val="24"/>
          <w:lang w:eastAsia="it-IT"/>
        </w:rPr>
        <w:t>ius</w:t>
      </w:r>
      <w:proofErr w:type="spellEnd"/>
      <w:r w:rsidRPr="00180CA2">
        <w:rPr>
          <w:rFonts w:ascii="Times New Roman" w:eastAsia="Times New Roman" w:hAnsi="Times New Roman" w:cs="Times New Roman"/>
          <w:i/>
          <w:iCs/>
          <w:sz w:val="24"/>
          <w:szCs w:val="24"/>
          <w:lang w:eastAsia="it-IT"/>
        </w:rPr>
        <w:t xml:space="preserve"> </w:t>
      </w:r>
      <w:proofErr w:type="spellStart"/>
      <w:r w:rsidRPr="00180CA2">
        <w:rPr>
          <w:rFonts w:ascii="Times New Roman" w:eastAsia="Times New Roman" w:hAnsi="Times New Roman" w:cs="Times New Roman"/>
          <w:i/>
          <w:iCs/>
          <w:sz w:val="24"/>
          <w:szCs w:val="24"/>
          <w:lang w:eastAsia="it-IT"/>
        </w:rPr>
        <w:t>sanguinis</w:t>
      </w:r>
      <w:proofErr w:type="spellEnd"/>
      <w:r w:rsidRPr="00180CA2">
        <w:rPr>
          <w:rFonts w:ascii="Times New Roman" w:eastAsia="Times New Roman" w:hAnsi="Times New Roman" w:cs="Times New Roman"/>
          <w:sz w:val="24"/>
          <w:szCs w:val="24"/>
          <w:lang w:eastAsia="it-IT"/>
        </w:rPr>
        <w:t xml:space="preserve">, già presente nella previgente legislazione, come principio cardine per l’acquisto della cittadinanza mentre lo </w:t>
      </w:r>
      <w:proofErr w:type="spellStart"/>
      <w:r w:rsidRPr="00180CA2">
        <w:rPr>
          <w:rFonts w:ascii="Times New Roman" w:eastAsia="Times New Roman" w:hAnsi="Times New Roman" w:cs="Times New Roman"/>
          <w:i/>
          <w:iCs/>
          <w:sz w:val="24"/>
          <w:szCs w:val="24"/>
          <w:lang w:eastAsia="it-IT"/>
        </w:rPr>
        <w:t>ius</w:t>
      </w:r>
      <w:proofErr w:type="spellEnd"/>
      <w:r w:rsidRPr="00180CA2">
        <w:rPr>
          <w:rFonts w:ascii="Times New Roman" w:eastAsia="Times New Roman" w:hAnsi="Times New Roman" w:cs="Times New Roman"/>
          <w:i/>
          <w:iCs/>
          <w:sz w:val="24"/>
          <w:szCs w:val="24"/>
          <w:lang w:eastAsia="it-IT"/>
        </w:rPr>
        <w:t xml:space="preserve"> soli</w:t>
      </w:r>
      <w:r w:rsidRPr="00180CA2">
        <w:rPr>
          <w:rFonts w:ascii="Times New Roman" w:eastAsia="Times New Roman" w:hAnsi="Times New Roman" w:cs="Times New Roman"/>
          <w:sz w:val="24"/>
          <w:szCs w:val="24"/>
          <w:lang w:eastAsia="it-IT"/>
        </w:rPr>
        <w:t xml:space="preserve"> resta un’ipotesi eccezionale e residuale.</w:t>
      </w:r>
    </w:p>
    <w:p w:rsidR="00180CA2" w:rsidRPr="00180CA2" w:rsidRDefault="00180CA2" w:rsidP="00180CA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80CA2">
        <w:rPr>
          <w:rFonts w:ascii="Times New Roman" w:eastAsia="Times New Roman" w:hAnsi="Times New Roman" w:cs="Times New Roman"/>
          <w:sz w:val="24"/>
          <w:szCs w:val="24"/>
          <w:lang w:eastAsia="it-IT"/>
        </w:rPr>
        <w:t xml:space="preserve">Nel dichiarare esplicitamente che anche la madre trasmette la cittadinanza, l’articolo recepisce in pieno il principio di parità tra uomo e donna per quanto attiene alla trasmissione dello </w:t>
      </w:r>
      <w:r w:rsidRPr="00180CA2">
        <w:rPr>
          <w:rFonts w:ascii="Times New Roman" w:eastAsia="Times New Roman" w:hAnsi="Times New Roman" w:cs="Times New Roman"/>
          <w:i/>
          <w:iCs/>
          <w:sz w:val="24"/>
          <w:szCs w:val="24"/>
          <w:lang w:eastAsia="it-IT"/>
        </w:rPr>
        <w:t xml:space="preserve">status </w:t>
      </w:r>
      <w:proofErr w:type="spellStart"/>
      <w:r w:rsidRPr="00180CA2">
        <w:rPr>
          <w:rFonts w:ascii="Times New Roman" w:eastAsia="Times New Roman" w:hAnsi="Times New Roman" w:cs="Times New Roman"/>
          <w:i/>
          <w:iCs/>
          <w:sz w:val="24"/>
          <w:szCs w:val="24"/>
          <w:lang w:eastAsia="it-IT"/>
        </w:rPr>
        <w:t>civitatis</w:t>
      </w:r>
      <w:proofErr w:type="spellEnd"/>
      <w:r w:rsidRPr="00180CA2">
        <w:rPr>
          <w:rFonts w:ascii="Times New Roman" w:eastAsia="Times New Roman" w:hAnsi="Times New Roman" w:cs="Times New Roman"/>
          <w:sz w:val="24"/>
          <w:szCs w:val="24"/>
          <w:lang w:eastAsia="it-IT"/>
        </w:rPr>
        <w:t>.</w:t>
      </w:r>
    </w:p>
    <w:p w:rsidR="00180CA2" w:rsidRPr="00180CA2" w:rsidRDefault="00180CA2" w:rsidP="00180CA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80CA2">
        <w:rPr>
          <w:rFonts w:ascii="Times New Roman" w:eastAsia="Times New Roman" w:hAnsi="Times New Roman" w:cs="Times New Roman"/>
          <w:sz w:val="24"/>
          <w:szCs w:val="24"/>
          <w:lang w:eastAsia="it-IT"/>
        </w:rPr>
        <w:t xml:space="preserve">Relativamente alle modalità del procedimento di riconoscimento del possesso </w:t>
      </w:r>
      <w:r w:rsidRPr="00180CA2">
        <w:rPr>
          <w:rFonts w:ascii="Times New Roman" w:eastAsia="Times New Roman" w:hAnsi="Times New Roman" w:cs="Times New Roman"/>
          <w:i/>
          <w:iCs/>
          <w:sz w:val="24"/>
          <w:szCs w:val="24"/>
          <w:lang w:eastAsia="it-IT"/>
        </w:rPr>
        <w:t xml:space="preserve">iure </w:t>
      </w:r>
      <w:proofErr w:type="spellStart"/>
      <w:r w:rsidRPr="00180CA2">
        <w:rPr>
          <w:rFonts w:ascii="Times New Roman" w:eastAsia="Times New Roman" w:hAnsi="Times New Roman" w:cs="Times New Roman"/>
          <w:i/>
          <w:iCs/>
          <w:sz w:val="24"/>
          <w:szCs w:val="24"/>
          <w:lang w:eastAsia="it-IT"/>
        </w:rPr>
        <w:t>sanguinis</w:t>
      </w:r>
      <w:proofErr w:type="spellEnd"/>
      <w:r w:rsidRPr="00180CA2">
        <w:rPr>
          <w:rFonts w:ascii="Times New Roman" w:eastAsia="Times New Roman" w:hAnsi="Times New Roman" w:cs="Times New Roman"/>
          <w:sz w:val="24"/>
          <w:szCs w:val="24"/>
          <w:lang w:eastAsia="it-IT"/>
        </w:rPr>
        <w:t xml:space="preserve"> della cittadinanza italiana, le stesse sono state puntualmente formalizzate nella </w:t>
      </w:r>
      <w:r w:rsidRPr="00180CA2">
        <w:rPr>
          <w:rFonts w:ascii="Times New Roman" w:eastAsia="Times New Roman" w:hAnsi="Times New Roman" w:cs="Times New Roman"/>
          <w:b/>
          <w:bCs/>
          <w:sz w:val="24"/>
          <w:szCs w:val="24"/>
          <w:lang w:eastAsia="it-IT"/>
        </w:rPr>
        <w:t>circolare n. K.28.1 dell’8 aprile 1991 del Ministero dell’Interno</w:t>
      </w:r>
      <w:r w:rsidRPr="00180CA2">
        <w:rPr>
          <w:rFonts w:ascii="Times New Roman" w:eastAsia="Times New Roman" w:hAnsi="Times New Roman" w:cs="Times New Roman"/>
          <w:sz w:val="24"/>
          <w:szCs w:val="24"/>
          <w:lang w:eastAsia="it-IT"/>
        </w:rPr>
        <w:t>.</w:t>
      </w:r>
    </w:p>
    <w:p w:rsidR="00180CA2" w:rsidRPr="00180CA2" w:rsidRDefault="00180CA2" w:rsidP="00180CA2">
      <w:pPr>
        <w:spacing w:before="100" w:beforeAutospacing="1" w:after="100" w:afterAutospacing="1" w:line="240" w:lineRule="auto"/>
        <w:jc w:val="both"/>
        <w:rPr>
          <w:rFonts w:ascii="Times New Roman" w:eastAsia="Times New Roman" w:hAnsi="Times New Roman" w:cs="Times New Roman"/>
          <w:sz w:val="24"/>
          <w:szCs w:val="24"/>
          <w:lang w:eastAsia="it-IT"/>
        </w:rPr>
      </w:pPr>
      <w:r w:rsidRPr="00180CA2">
        <w:rPr>
          <w:rFonts w:ascii="Times New Roman" w:eastAsia="Times New Roman" w:hAnsi="Times New Roman" w:cs="Times New Roman"/>
          <w:sz w:val="24"/>
          <w:szCs w:val="24"/>
          <w:lang w:eastAsia="it-IT"/>
        </w:rPr>
        <w:t>L’autorità competente ad effettuare l’accertamento è determinata in base al luogo di residenza: per i residenti all’estero è l’Ufficio consolare territorialmente competente.</w:t>
      </w:r>
    </w:p>
    <w:p w:rsidR="00180CA2" w:rsidRPr="00180CA2" w:rsidRDefault="00180CA2" w:rsidP="00180CA2">
      <w:pPr>
        <w:spacing w:before="100" w:beforeAutospacing="1" w:after="100" w:afterAutospacing="1" w:line="240" w:lineRule="auto"/>
        <w:jc w:val="both"/>
        <w:rPr>
          <w:rFonts w:ascii="Times New Roman" w:eastAsia="Times New Roman" w:hAnsi="Times New Roman" w:cs="Times New Roman"/>
          <w:sz w:val="24"/>
          <w:szCs w:val="24"/>
          <w:lang w:eastAsia="it-IT"/>
        </w:rPr>
      </w:pPr>
      <w:bookmarkStart w:id="0" w:name="_GoBack"/>
      <w:bookmarkEnd w:id="0"/>
      <w:r w:rsidRPr="00180CA2">
        <w:rPr>
          <w:rFonts w:ascii="Times New Roman" w:eastAsia="Times New Roman" w:hAnsi="Times New Roman" w:cs="Times New Roman"/>
          <w:sz w:val="24"/>
          <w:szCs w:val="24"/>
          <w:lang w:eastAsia="it-IT"/>
        </w:rPr>
        <w:t>Il richiedente ha l’onere di presentare l’istanza corredata dalla prescritta documentazione, regolare e completa, volta a dimostrare gli aspetti sopra elencati.</w:t>
      </w:r>
    </w:p>
    <w:p w:rsidR="00E11F21" w:rsidRDefault="00E11F21"/>
    <w:sectPr w:rsidR="00E11F2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83B57"/>
    <w:multiLevelType w:val="multilevel"/>
    <w:tmpl w:val="96187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F91D19"/>
    <w:multiLevelType w:val="multilevel"/>
    <w:tmpl w:val="F2F8BA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BF4BED"/>
    <w:multiLevelType w:val="multilevel"/>
    <w:tmpl w:val="03565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FC53E2"/>
    <w:multiLevelType w:val="multilevel"/>
    <w:tmpl w:val="7B06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CA2"/>
    <w:rsid w:val="00180CA2"/>
    <w:rsid w:val="00E11F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4EAF"/>
  <w15:chartTrackingRefBased/>
  <w15:docId w15:val="{537BBD7D-94B8-4205-9311-A89312619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36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steri.it/it/servizi-consolari-e-visti/italiani-all-estero/cittadinanza/"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2189</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Iuliano</dc:creator>
  <cp:keywords/>
  <dc:description/>
  <cp:lastModifiedBy>Stefania Iuliano</cp:lastModifiedBy>
  <cp:revision>1</cp:revision>
  <dcterms:created xsi:type="dcterms:W3CDTF">2025-11-17T13:58:00Z</dcterms:created>
  <dcterms:modified xsi:type="dcterms:W3CDTF">2025-11-17T13:59:00Z</dcterms:modified>
</cp:coreProperties>
</file>